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6046" w14:textId="77777777" w:rsidR="00B40EC1" w:rsidRPr="00B40EC1" w:rsidRDefault="00F66C08" w:rsidP="00B40EC1">
      <w:pPr>
        <w:pStyle w:val="Heading1"/>
        <w:spacing w:line="420" w:lineRule="atLeast"/>
        <w:rPr>
          <w:rFonts w:ascii="Times New Roman" w:eastAsia="Times New Roman" w:hAnsi="Times New Roman" w:cs="Times New Roman"/>
          <w:b/>
          <w:bCs/>
          <w:color w:val="2E4D84"/>
          <w:kern w:val="36"/>
          <w:sz w:val="33"/>
          <w:szCs w:val="33"/>
        </w:rPr>
      </w:pPr>
      <w:proofErr w:type="spellStart"/>
      <w:r>
        <w:t>For</w:t>
      </w:r>
      <w:r w:rsidR="00B40EC1" w:rsidRPr="00B40EC1">
        <w:rPr>
          <w:rFonts w:ascii="Times New Roman" w:eastAsia="Times New Roman" w:hAnsi="Times New Roman" w:cs="Times New Roman"/>
          <w:b/>
          <w:bCs/>
          <w:color w:val="2E4D84"/>
          <w:kern w:val="36"/>
          <w:sz w:val="33"/>
          <w:szCs w:val="33"/>
        </w:rPr>
        <w:t>OSHA</w:t>
      </w:r>
      <w:proofErr w:type="spellEnd"/>
      <w:r w:rsidR="00B40EC1" w:rsidRPr="00B40EC1">
        <w:rPr>
          <w:rFonts w:ascii="Times New Roman" w:eastAsia="Times New Roman" w:hAnsi="Times New Roman" w:cs="Times New Roman"/>
          <w:b/>
          <w:bCs/>
          <w:color w:val="2E4D84"/>
          <w:kern w:val="36"/>
          <w:sz w:val="33"/>
          <w:szCs w:val="33"/>
        </w:rPr>
        <w:t xml:space="preserve"> on Forklift Battery Changing Stations and Workplace Safety</w:t>
      </w:r>
    </w:p>
    <w:p w14:paraId="7049498C" w14:textId="77777777" w:rsidR="00B40EC1" w:rsidRPr="00B40EC1" w:rsidRDefault="00B40EC1" w:rsidP="00B40EC1">
      <w:pPr>
        <w:spacing w:after="0" w:line="240" w:lineRule="auto"/>
        <w:rPr>
          <w:rFonts w:ascii="Times New Roman" w:eastAsia="Times New Roman" w:hAnsi="Times New Roman" w:cs="Times New Roman"/>
          <w:sz w:val="24"/>
          <w:szCs w:val="24"/>
        </w:rPr>
      </w:pPr>
      <w:hyperlink r:id="rId4" w:history="1">
        <w:r w:rsidRPr="00B40EC1">
          <w:rPr>
            <w:rFonts w:ascii="Times New Roman" w:eastAsia="Times New Roman" w:hAnsi="Times New Roman" w:cs="Times New Roman"/>
            <w:color w:val="504941"/>
            <w:sz w:val="20"/>
            <w:szCs w:val="20"/>
          </w:rPr>
          <w:t>June 6, 2018</w:t>
        </w:r>
      </w:hyperlink>
    </w:p>
    <w:p w14:paraId="46978442"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The Occupational Safety and Health Administration (OSHA) addresses industrial battery changing in Parts </w:t>
      </w:r>
      <w:hyperlink r:id="rId5" w:tgtFrame="_blank" w:history="1">
        <w:r w:rsidRPr="00B40EC1">
          <w:rPr>
            <w:rFonts w:ascii="Helvetica" w:eastAsia="Times New Roman" w:hAnsi="Helvetica" w:cs="Times New Roman"/>
            <w:sz w:val="23"/>
            <w:szCs w:val="23"/>
            <w:u w:val="single"/>
          </w:rPr>
          <w:t>1910</w:t>
        </w:r>
      </w:hyperlink>
      <w:r w:rsidRPr="00B40EC1">
        <w:rPr>
          <w:rFonts w:ascii="Helvetica" w:eastAsia="Times New Roman" w:hAnsi="Helvetica" w:cs="Times New Roman"/>
          <w:sz w:val="23"/>
          <w:szCs w:val="23"/>
        </w:rPr>
        <w:t> and </w:t>
      </w:r>
      <w:hyperlink r:id="rId6" w:tgtFrame="_blank" w:history="1">
        <w:r w:rsidRPr="00B40EC1">
          <w:rPr>
            <w:rFonts w:ascii="Helvetica" w:eastAsia="Times New Roman" w:hAnsi="Helvetica" w:cs="Times New Roman"/>
            <w:sz w:val="23"/>
            <w:szCs w:val="23"/>
            <w:u w:val="single"/>
          </w:rPr>
          <w:t>1926</w:t>
        </w:r>
      </w:hyperlink>
      <w:r w:rsidRPr="00B40EC1">
        <w:rPr>
          <w:rFonts w:ascii="Helvetica" w:eastAsia="Times New Roman" w:hAnsi="Helvetica" w:cs="Times New Roman"/>
          <w:sz w:val="23"/>
          <w:szCs w:val="23"/>
        </w:rPr>
        <w:t>. More specifically, </w:t>
      </w:r>
      <w:hyperlink r:id="rId7" w:tgtFrame="_blank" w:history="1">
        <w:r w:rsidRPr="00B40EC1">
          <w:rPr>
            <w:rFonts w:ascii="Helvetica" w:eastAsia="Times New Roman" w:hAnsi="Helvetica" w:cs="Times New Roman"/>
            <w:sz w:val="23"/>
            <w:szCs w:val="23"/>
            <w:u w:val="single"/>
          </w:rPr>
          <w:t>29 CFR 1910.178(g)</w:t>
        </w:r>
      </w:hyperlink>
      <w:r w:rsidRPr="00B40EC1">
        <w:rPr>
          <w:rFonts w:ascii="Helvetica" w:eastAsia="Times New Roman" w:hAnsi="Helvetica" w:cs="Times New Roman"/>
          <w:sz w:val="23"/>
          <w:szCs w:val="23"/>
        </w:rPr>
        <w:t> and </w:t>
      </w:r>
      <w:hyperlink r:id="rId8" w:tgtFrame="_blank" w:history="1">
        <w:r w:rsidRPr="00B40EC1">
          <w:rPr>
            <w:rFonts w:ascii="Helvetica" w:eastAsia="Times New Roman" w:hAnsi="Helvetica" w:cs="Times New Roman"/>
            <w:sz w:val="23"/>
            <w:szCs w:val="23"/>
            <w:u w:val="single"/>
          </w:rPr>
          <w:t>29 CFR 1910.305(j)(7)</w:t>
        </w:r>
      </w:hyperlink>
      <w:r w:rsidRPr="00B40EC1">
        <w:rPr>
          <w:rFonts w:ascii="Helvetica" w:eastAsia="Times New Roman" w:hAnsi="Helvetica" w:cs="Times New Roman"/>
          <w:sz w:val="23"/>
          <w:szCs w:val="23"/>
        </w:rPr>
        <w:t> address changing and storage of industrial batteries while </w:t>
      </w:r>
      <w:hyperlink r:id="rId9" w:tgtFrame="_blank" w:history="1">
        <w:r w:rsidRPr="00B40EC1">
          <w:rPr>
            <w:rFonts w:ascii="Helvetica" w:eastAsia="Times New Roman" w:hAnsi="Helvetica" w:cs="Times New Roman"/>
            <w:sz w:val="23"/>
            <w:szCs w:val="23"/>
            <w:u w:val="single"/>
          </w:rPr>
          <w:t>29 CFR 1926.441</w:t>
        </w:r>
      </w:hyperlink>
      <w:r w:rsidRPr="00B40EC1">
        <w:rPr>
          <w:rFonts w:ascii="Helvetica" w:eastAsia="Times New Roman" w:hAnsi="Helvetica" w:cs="Times New Roman"/>
          <w:sz w:val="23"/>
          <w:szCs w:val="23"/>
        </w:rPr>
        <w:t> lists required safety measures during charging. Here’s a summary of the federal code.</w:t>
      </w:r>
    </w:p>
    <w:p w14:paraId="3DB9B051" w14:textId="77777777" w:rsidR="00B40EC1" w:rsidRPr="00B40EC1" w:rsidRDefault="00B40EC1" w:rsidP="00B40EC1">
      <w:pPr>
        <w:shd w:val="clear" w:color="auto" w:fill="FFFFFF"/>
        <w:spacing w:after="0" w:line="240" w:lineRule="auto"/>
        <w:outlineLvl w:val="1"/>
        <w:rPr>
          <w:rFonts w:ascii="Helvetica" w:eastAsia="Times New Roman" w:hAnsi="Helvetica" w:cs="Times New Roman"/>
          <w:b/>
          <w:bCs/>
          <w:sz w:val="29"/>
          <w:szCs w:val="29"/>
        </w:rPr>
      </w:pPr>
      <w:r w:rsidRPr="00B40EC1">
        <w:rPr>
          <w:rFonts w:ascii="Helvetica" w:eastAsia="Times New Roman" w:hAnsi="Helvetica" w:cs="Times New Roman"/>
          <w:b/>
          <w:bCs/>
          <w:sz w:val="29"/>
          <w:szCs w:val="29"/>
        </w:rPr>
        <w:t>The Battery-Changing Procedure</w:t>
      </w:r>
    </w:p>
    <w:p w14:paraId="17ADF330"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The change-out itself can be a dangerous process if safety procedures aren’t followed. </w:t>
      </w:r>
      <w:hyperlink r:id="rId10" w:anchor="1910.178(g)(8)" w:tgtFrame="_blank" w:history="1">
        <w:r w:rsidRPr="00B40EC1">
          <w:rPr>
            <w:rFonts w:ascii="Helvetica" w:eastAsia="Times New Roman" w:hAnsi="Helvetica" w:cs="Times New Roman"/>
            <w:sz w:val="23"/>
            <w:szCs w:val="23"/>
            <w:u w:val="single"/>
          </w:rPr>
          <w:t>29 CFR 1910.178(g)(8)</w:t>
        </w:r>
      </w:hyperlink>
      <w:r w:rsidRPr="00B40EC1">
        <w:rPr>
          <w:rFonts w:ascii="Helvetica" w:eastAsia="Times New Roman" w:hAnsi="Helvetica" w:cs="Times New Roman"/>
          <w:sz w:val="23"/>
          <w:szCs w:val="23"/>
        </w:rPr>
        <w:t> reminds operators to position the truck properly and apply brakes before beginning the change-out. This allows staff to safely remove the drained battery from the lift truck.</w:t>
      </w:r>
    </w:p>
    <w:p w14:paraId="07573129"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noProof/>
          <w:color w:val="504941"/>
          <w:sz w:val="23"/>
          <w:szCs w:val="23"/>
        </w:rPr>
        <w:drawing>
          <wp:inline distT="0" distB="0" distL="0" distR="0" wp14:anchorId="1A9B85E1" wp14:editId="5B6BCDD2">
            <wp:extent cx="3810000" cy="2181225"/>
            <wp:effectExtent l="0" t="0" r="0" b="9525"/>
            <wp:docPr id="3" name="Picture 3" descr="OSHA on Forklift Battery Changing Stations and Workplac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HA on Forklift Battery Changing Stations and Workplace Safe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r w:rsidRPr="00B40EC1">
        <w:rPr>
          <w:rFonts w:ascii="Helvetica" w:eastAsia="Times New Roman" w:hAnsi="Helvetica" w:cs="Times New Roman"/>
          <w:sz w:val="23"/>
          <w:szCs w:val="23"/>
        </w:rPr>
        <w:t xml:space="preserve">The most </w:t>
      </w:r>
      <w:proofErr w:type="gramStart"/>
      <w:r w:rsidRPr="00B40EC1">
        <w:rPr>
          <w:rFonts w:ascii="Helvetica" w:eastAsia="Times New Roman" w:hAnsi="Helvetica" w:cs="Times New Roman"/>
          <w:sz w:val="23"/>
          <w:szCs w:val="23"/>
        </w:rPr>
        <w:t>serious danger</w:t>
      </w:r>
      <w:proofErr w:type="gramEnd"/>
      <w:r w:rsidRPr="00B40EC1">
        <w:rPr>
          <w:rFonts w:ascii="Helvetica" w:eastAsia="Times New Roman" w:hAnsi="Helvetica" w:cs="Times New Roman"/>
          <w:sz w:val="23"/>
          <w:szCs w:val="23"/>
        </w:rPr>
        <w:t xml:space="preserve"> comes from the forklift battery itself. Industrial batteries are extremely heavy and can cause everything from </w:t>
      </w:r>
      <w:hyperlink r:id="rId12" w:tgtFrame="_blank" w:history="1">
        <w:r w:rsidRPr="00B40EC1">
          <w:rPr>
            <w:rFonts w:ascii="Helvetica" w:eastAsia="Times New Roman" w:hAnsi="Helvetica" w:cs="Times New Roman"/>
            <w:sz w:val="23"/>
            <w:szCs w:val="23"/>
            <w:u w:val="single"/>
          </w:rPr>
          <w:t>musculoskeletal disorders</w:t>
        </w:r>
      </w:hyperlink>
      <w:r w:rsidRPr="00B40EC1">
        <w:rPr>
          <w:rFonts w:ascii="Helvetica" w:eastAsia="Times New Roman" w:hAnsi="Helvetica" w:cs="Times New Roman"/>
          <w:sz w:val="23"/>
          <w:szCs w:val="23"/>
        </w:rPr>
        <w:t> to grievous injuries if the proper equipment isn’t used. </w:t>
      </w:r>
      <w:hyperlink r:id="rId13" w:anchor="1910.178(g)(4)" w:tgtFrame="_blank" w:history="1">
        <w:r w:rsidRPr="00B40EC1">
          <w:rPr>
            <w:rFonts w:ascii="Helvetica" w:eastAsia="Times New Roman" w:hAnsi="Helvetica" w:cs="Times New Roman"/>
            <w:sz w:val="23"/>
            <w:szCs w:val="23"/>
            <w:u w:val="single"/>
          </w:rPr>
          <w:t>29 CFR 1910.178(g)(4)</w:t>
        </w:r>
      </w:hyperlink>
      <w:r w:rsidRPr="00B40EC1">
        <w:rPr>
          <w:rFonts w:ascii="Helvetica" w:eastAsia="Times New Roman" w:hAnsi="Helvetica" w:cs="Times New Roman"/>
          <w:sz w:val="23"/>
          <w:szCs w:val="23"/>
        </w:rPr>
        <w:t> mandates using a lifting beam or other material handling equipment that will securely lift the battery without requiring awkward movements from workers. OSHA prohibits the use of a chain with two hooks since the uneven forces will cause distortion and internal damage to the battery.</w:t>
      </w:r>
    </w:p>
    <w:p w14:paraId="3705B8A1"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color w:val="504941"/>
          <w:sz w:val="23"/>
          <w:szCs w:val="23"/>
        </w:rPr>
      </w:pPr>
      <w:r w:rsidRPr="00B40EC1">
        <w:rPr>
          <w:rFonts w:ascii="Helvetica" w:eastAsia="Times New Roman" w:hAnsi="Helvetica" w:cs="Times New Roman"/>
          <w:color w:val="504941"/>
          <w:sz w:val="23"/>
          <w:szCs w:val="23"/>
        </w:rPr>
        <w:t xml:space="preserve">OSHA also mandates that there be a designated battery-charging area, and that area has </w:t>
      </w:r>
      <w:proofErr w:type="gramStart"/>
      <w:r w:rsidRPr="00B40EC1">
        <w:rPr>
          <w:rFonts w:ascii="Helvetica" w:eastAsia="Times New Roman" w:hAnsi="Helvetica" w:cs="Times New Roman"/>
          <w:color w:val="504941"/>
          <w:sz w:val="23"/>
          <w:szCs w:val="23"/>
        </w:rPr>
        <w:t>a number of</w:t>
      </w:r>
      <w:proofErr w:type="gramEnd"/>
      <w:r w:rsidRPr="00B40EC1">
        <w:rPr>
          <w:rFonts w:ascii="Helvetica" w:eastAsia="Times New Roman" w:hAnsi="Helvetica" w:cs="Times New Roman"/>
          <w:color w:val="504941"/>
          <w:sz w:val="23"/>
          <w:szCs w:val="23"/>
        </w:rPr>
        <w:t xml:space="preserve"> safety requirements.</w:t>
      </w:r>
    </w:p>
    <w:p w14:paraId="7188BDF2" w14:textId="77777777" w:rsidR="00B40EC1" w:rsidRPr="00B40EC1" w:rsidRDefault="00B40EC1" w:rsidP="00B40EC1">
      <w:pPr>
        <w:shd w:val="clear" w:color="auto" w:fill="FFFFFF"/>
        <w:spacing w:after="0" w:line="240" w:lineRule="auto"/>
        <w:outlineLvl w:val="1"/>
        <w:rPr>
          <w:rFonts w:ascii="Helvetica" w:eastAsia="Times New Roman" w:hAnsi="Helvetica" w:cs="Times New Roman"/>
          <w:b/>
          <w:bCs/>
          <w:color w:val="4978D0"/>
          <w:sz w:val="29"/>
          <w:szCs w:val="29"/>
        </w:rPr>
      </w:pPr>
      <w:r w:rsidRPr="00B40EC1">
        <w:rPr>
          <w:rFonts w:ascii="Helvetica" w:eastAsia="Times New Roman" w:hAnsi="Helvetica" w:cs="Times New Roman"/>
          <w:b/>
          <w:bCs/>
          <w:color w:val="4978D0"/>
          <w:sz w:val="29"/>
          <w:szCs w:val="29"/>
        </w:rPr>
        <w:t>The Battery-Charging Area</w:t>
      </w:r>
    </w:p>
    <w:p w14:paraId="25EBD55E"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color w:val="504941"/>
          <w:sz w:val="23"/>
          <w:szCs w:val="23"/>
        </w:rPr>
      </w:pPr>
      <w:r w:rsidRPr="00B40EC1">
        <w:rPr>
          <w:rFonts w:ascii="Helvetica" w:eastAsia="Times New Roman" w:hAnsi="Helvetica" w:cs="Times New Roman"/>
          <w:color w:val="504941"/>
          <w:sz w:val="23"/>
          <w:szCs w:val="23"/>
        </w:rPr>
        <w:lastRenderedPageBreak/>
        <w:t>OSHA requires a blend of preventive and response equipment in all battery-charging areas. A </w:t>
      </w:r>
      <w:hyperlink r:id="rId14" w:tgtFrame="_blank" w:history="1">
        <w:r w:rsidRPr="00B40EC1">
          <w:rPr>
            <w:rFonts w:ascii="Helvetica" w:eastAsia="Times New Roman" w:hAnsi="Helvetica" w:cs="Times New Roman"/>
            <w:color w:val="4978D0"/>
            <w:sz w:val="23"/>
            <w:szCs w:val="23"/>
            <w:u w:val="single"/>
          </w:rPr>
          <w:t>fire extinguisher</w:t>
        </w:r>
      </w:hyperlink>
      <w:r w:rsidRPr="00B40EC1">
        <w:rPr>
          <w:rFonts w:ascii="Helvetica" w:eastAsia="Times New Roman" w:hAnsi="Helvetica" w:cs="Times New Roman"/>
          <w:color w:val="504941"/>
          <w:sz w:val="23"/>
          <w:szCs w:val="23"/>
        </w:rPr>
        <w:t>, phone, </w:t>
      </w:r>
      <w:hyperlink r:id="rId15" w:tgtFrame="_blank" w:history="1">
        <w:r w:rsidRPr="00B40EC1">
          <w:rPr>
            <w:rFonts w:ascii="Helvetica" w:eastAsia="Times New Roman" w:hAnsi="Helvetica" w:cs="Times New Roman"/>
            <w:color w:val="4978D0"/>
            <w:sz w:val="23"/>
            <w:szCs w:val="23"/>
            <w:u w:val="single"/>
          </w:rPr>
          <w:t>eyewash station</w:t>
        </w:r>
      </w:hyperlink>
      <w:r w:rsidRPr="00B40EC1">
        <w:rPr>
          <w:rFonts w:ascii="Helvetica" w:eastAsia="Times New Roman" w:hAnsi="Helvetica" w:cs="Times New Roman"/>
          <w:color w:val="504941"/>
          <w:sz w:val="23"/>
          <w:szCs w:val="23"/>
        </w:rPr>
        <w:t> (with at least 15 minutes of flow), and </w:t>
      </w:r>
      <w:hyperlink r:id="rId16" w:tgtFrame="_blank" w:history="1">
        <w:r w:rsidRPr="00B40EC1">
          <w:rPr>
            <w:rFonts w:ascii="Helvetica" w:eastAsia="Times New Roman" w:hAnsi="Helvetica" w:cs="Times New Roman"/>
            <w:color w:val="4978D0"/>
            <w:sz w:val="23"/>
            <w:szCs w:val="23"/>
            <w:u w:val="single"/>
          </w:rPr>
          <w:t>neutralization materials</w:t>
        </w:r>
      </w:hyperlink>
      <w:r w:rsidRPr="00B40EC1">
        <w:rPr>
          <w:rFonts w:ascii="Helvetica" w:eastAsia="Times New Roman" w:hAnsi="Helvetica" w:cs="Times New Roman"/>
          <w:color w:val="504941"/>
          <w:sz w:val="23"/>
          <w:szCs w:val="23"/>
        </w:rPr>
        <w:t> must be readily available in this area. Smoking should be prohibited and </w:t>
      </w:r>
      <w:hyperlink r:id="rId17" w:tgtFrame="_blank" w:history="1">
        <w:r w:rsidRPr="00B40EC1">
          <w:rPr>
            <w:rFonts w:ascii="Helvetica" w:eastAsia="Times New Roman" w:hAnsi="Helvetica" w:cs="Times New Roman"/>
            <w:color w:val="4978D0"/>
            <w:sz w:val="23"/>
            <w:szCs w:val="23"/>
            <w:u w:val="single"/>
          </w:rPr>
          <w:t>no smoking signs</w:t>
        </w:r>
      </w:hyperlink>
      <w:r w:rsidRPr="00B40EC1">
        <w:rPr>
          <w:rFonts w:ascii="Helvetica" w:eastAsia="Times New Roman" w:hAnsi="Helvetica" w:cs="Times New Roman"/>
          <w:color w:val="504941"/>
          <w:sz w:val="23"/>
          <w:szCs w:val="23"/>
        </w:rPr>
        <w:t> must be posted to prevent accumulated hydrogen from exploding. </w:t>
      </w:r>
      <w:hyperlink r:id="rId18" w:tgtFrame="_blank" w:history="1">
        <w:r w:rsidRPr="00B40EC1">
          <w:rPr>
            <w:rFonts w:ascii="Helvetica" w:eastAsia="Times New Roman" w:hAnsi="Helvetica" w:cs="Times New Roman"/>
            <w:color w:val="4978D0"/>
            <w:sz w:val="23"/>
            <w:szCs w:val="23"/>
            <w:u w:val="single"/>
          </w:rPr>
          <w:t>29 CFR 1910.305(j)(7)</w:t>
        </w:r>
      </w:hyperlink>
      <w:r w:rsidRPr="00B40EC1">
        <w:rPr>
          <w:rFonts w:ascii="Helvetica" w:eastAsia="Times New Roman" w:hAnsi="Helvetica" w:cs="Times New Roman"/>
          <w:color w:val="504941"/>
          <w:sz w:val="23"/>
          <w:szCs w:val="23"/>
        </w:rPr>
        <w:t> requires adequate </w:t>
      </w:r>
      <w:hyperlink r:id="rId19" w:tgtFrame="_blank" w:history="1">
        <w:r w:rsidRPr="00B40EC1">
          <w:rPr>
            <w:rFonts w:ascii="Helvetica" w:eastAsia="Times New Roman" w:hAnsi="Helvetica" w:cs="Times New Roman"/>
            <w:color w:val="4978D0"/>
            <w:sz w:val="23"/>
            <w:szCs w:val="23"/>
            <w:u w:val="single"/>
          </w:rPr>
          <w:t>ventilation</w:t>
        </w:r>
      </w:hyperlink>
      <w:r w:rsidRPr="00B40EC1">
        <w:rPr>
          <w:rFonts w:ascii="Helvetica" w:eastAsia="Times New Roman" w:hAnsi="Helvetica" w:cs="Times New Roman"/>
          <w:color w:val="504941"/>
          <w:sz w:val="23"/>
          <w:szCs w:val="23"/>
        </w:rPr>
        <w:t> in storage areas to disperse flammable hydrogen gas.</w:t>
      </w:r>
    </w:p>
    <w:p w14:paraId="636532B7"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color w:val="504941"/>
          <w:sz w:val="23"/>
          <w:szCs w:val="23"/>
        </w:rPr>
      </w:pPr>
      <w:r w:rsidRPr="00B40EC1">
        <w:rPr>
          <w:rFonts w:ascii="Helvetica" w:eastAsia="Times New Roman" w:hAnsi="Helvetica" w:cs="Times New Roman"/>
          <w:color w:val="504941"/>
          <w:sz w:val="23"/>
          <w:szCs w:val="23"/>
        </w:rPr>
        <w:t xml:space="preserve">On top of </w:t>
      </w:r>
      <w:proofErr w:type="gramStart"/>
      <w:r w:rsidRPr="00B40EC1">
        <w:rPr>
          <w:rFonts w:ascii="Helvetica" w:eastAsia="Times New Roman" w:hAnsi="Helvetica" w:cs="Times New Roman"/>
          <w:color w:val="504941"/>
          <w:sz w:val="23"/>
          <w:szCs w:val="23"/>
        </w:rPr>
        <w:t>all of</w:t>
      </w:r>
      <w:proofErr w:type="gramEnd"/>
      <w:r w:rsidRPr="00B40EC1">
        <w:rPr>
          <w:rFonts w:ascii="Helvetica" w:eastAsia="Times New Roman" w:hAnsi="Helvetica" w:cs="Times New Roman"/>
          <w:color w:val="504941"/>
          <w:sz w:val="23"/>
          <w:szCs w:val="23"/>
        </w:rPr>
        <w:t xml:space="preserve"> these safety measures, OSHA requires that battery chargers be protected from collisions by lift trucks. </w:t>
      </w:r>
      <w:hyperlink r:id="rId20" w:tgtFrame="_blank" w:history="1">
        <w:r w:rsidRPr="00B40EC1">
          <w:rPr>
            <w:rFonts w:ascii="Helvetica" w:eastAsia="Times New Roman" w:hAnsi="Helvetica" w:cs="Times New Roman"/>
            <w:color w:val="4978D0"/>
            <w:sz w:val="23"/>
            <w:szCs w:val="23"/>
            <w:u w:val="single"/>
          </w:rPr>
          <w:t>Protective Rails</w:t>
        </w:r>
      </w:hyperlink>
      <w:r w:rsidRPr="00B40EC1">
        <w:rPr>
          <w:rFonts w:ascii="Helvetica" w:eastAsia="Times New Roman" w:hAnsi="Helvetica" w:cs="Times New Roman"/>
          <w:color w:val="504941"/>
          <w:sz w:val="23"/>
          <w:szCs w:val="23"/>
        </w:rPr>
        <w:t> and </w:t>
      </w:r>
      <w:hyperlink r:id="rId21" w:tgtFrame="_blank" w:history="1">
        <w:r w:rsidRPr="00B40EC1">
          <w:rPr>
            <w:rFonts w:ascii="Helvetica" w:eastAsia="Times New Roman" w:hAnsi="Helvetica" w:cs="Times New Roman"/>
            <w:color w:val="4978D0"/>
            <w:sz w:val="23"/>
            <w:szCs w:val="23"/>
            <w:u w:val="single"/>
          </w:rPr>
          <w:t>Structural Bollards</w:t>
        </w:r>
      </w:hyperlink>
      <w:r w:rsidRPr="00B40EC1">
        <w:rPr>
          <w:rFonts w:ascii="Helvetica" w:eastAsia="Times New Roman" w:hAnsi="Helvetica" w:cs="Times New Roman"/>
          <w:color w:val="504941"/>
          <w:sz w:val="23"/>
          <w:szCs w:val="23"/>
        </w:rPr>
        <w:t> are popular options for protecting chargers.</w:t>
      </w:r>
    </w:p>
    <w:p w14:paraId="3C577FD5" w14:textId="77777777" w:rsidR="00B40EC1" w:rsidRPr="00B40EC1" w:rsidRDefault="00B40EC1" w:rsidP="00B40EC1">
      <w:pPr>
        <w:shd w:val="clear" w:color="auto" w:fill="FFFFFF"/>
        <w:spacing w:after="0" w:line="240" w:lineRule="auto"/>
        <w:outlineLvl w:val="1"/>
        <w:rPr>
          <w:rFonts w:ascii="Helvetica" w:eastAsia="Times New Roman" w:hAnsi="Helvetica" w:cs="Times New Roman"/>
          <w:b/>
          <w:bCs/>
          <w:color w:val="4978D0"/>
          <w:sz w:val="29"/>
          <w:szCs w:val="29"/>
        </w:rPr>
      </w:pPr>
      <w:r w:rsidRPr="00B40EC1">
        <w:rPr>
          <w:rFonts w:ascii="Helvetica" w:eastAsia="Times New Roman" w:hAnsi="Helvetica" w:cs="Times New Roman"/>
          <w:b/>
          <w:bCs/>
          <w:color w:val="4978D0"/>
          <w:sz w:val="29"/>
          <w:szCs w:val="29"/>
        </w:rPr>
        <w:t>The Battery-Charging Procedure</w:t>
      </w:r>
    </w:p>
    <w:p w14:paraId="03CFD0B2"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We mentioned that smoking is prohibited in battery-charging areas, but there are even more preventive measures required by OSHA for eliminating hydrogen gas explosions. </w:t>
      </w:r>
      <w:hyperlink r:id="rId22" w:anchor="1910.178(g)(11)" w:tgtFrame="_blank" w:history="1">
        <w:r w:rsidRPr="00B40EC1">
          <w:rPr>
            <w:rFonts w:ascii="Helvetica" w:eastAsia="Times New Roman" w:hAnsi="Helvetica" w:cs="Times New Roman"/>
            <w:sz w:val="23"/>
            <w:szCs w:val="23"/>
            <w:u w:val="single"/>
          </w:rPr>
          <w:t>29 CFR 1910.178(g</w:t>
        </w:r>
        <w:proofErr w:type="gramStart"/>
        <w:r w:rsidRPr="00B40EC1">
          <w:rPr>
            <w:rFonts w:ascii="Helvetica" w:eastAsia="Times New Roman" w:hAnsi="Helvetica" w:cs="Times New Roman"/>
            <w:sz w:val="23"/>
            <w:szCs w:val="23"/>
            <w:u w:val="single"/>
          </w:rPr>
          <w:t>)(</w:t>
        </w:r>
        <w:proofErr w:type="gramEnd"/>
        <w:r w:rsidRPr="00B40EC1">
          <w:rPr>
            <w:rFonts w:ascii="Helvetica" w:eastAsia="Times New Roman" w:hAnsi="Helvetica" w:cs="Times New Roman"/>
            <w:sz w:val="23"/>
            <w:szCs w:val="23"/>
            <w:u w:val="single"/>
          </w:rPr>
          <w:t>11-12)</w:t>
        </w:r>
      </w:hyperlink>
      <w:r w:rsidRPr="00B40EC1">
        <w:rPr>
          <w:rFonts w:ascii="Helvetica" w:eastAsia="Times New Roman" w:hAnsi="Helvetica" w:cs="Times New Roman"/>
          <w:sz w:val="23"/>
          <w:szCs w:val="23"/>
        </w:rPr>
        <w:t> warns workers to keep any sparks or open flames from the area. The code specifically mentions removing any metallic jewelry and keeping metal tools away from the tops of uncovered batteries to prevent sparks.</w:t>
      </w:r>
    </w:p>
    <w:p w14:paraId="5685E69F"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Furthermore, </w:t>
      </w:r>
      <w:hyperlink r:id="rId23" w:anchor="1910.178(g)(7)" w:tgtFrame="_blank" w:history="1">
        <w:r w:rsidRPr="00B40EC1">
          <w:rPr>
            <w:rFonts w:ascii="Helvetica" w:eastAsia="Times New Roman" w:hAnsi="Helvetica" w:cs="Times New Roman"/>
            <w:sz w:val="23"/>
            <w:szCs w:val="23"/>
            <w:u w:val="single"/>
          </w:rPr>
          <w:t>29 CFR 1910.178(g)(7)</w:t>
        </w:r>
      </w:hyperlink>
      <w:r w:rsidRPr="00B40EC1">
        <w:rPr>
          <w:rFonts w:ascii="Helvetica" w:eastAsia="Times New Roman" w:hAnsi="Helvetica" w:cs="Times New Roman"/>
          <w:sz w:val="23"/>
          <w:szCs w:val="23"/>
        </w:rPr>
        <w:t> reminds workers to never pour water into acid; rather, it is safer to pour acid into water. Staff should also ensure that vent caps are functioning properly and that battery covers are open to facilitate heat dispersal.</w:t>
      </w:r>
    </w:p>
    <w:p w14:paraId="69ED572C"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 xml:space="preserve">To prevent </w:t>
      </w:r>
      <w:proofErr w:type="spellStart"/>
      <w:r w:rsidRPr="00B40EC1">
        <w:rPr>
          <w:rFonts w:ascii="Helvetica" w:eastAsia="Times New Roman" w:hAnsi="Helvetica" w:cs="Times New Roman"/>
          <w:sz w:val="23"/>
          <w:szCs w:val="23"/>
        </w:rPr>
        <w:t>boilovers</w:t>
      </w:r>
      <w:proofErr w:type="spellEnd"/>
      <w:r w:rsidRPr="00B40EC1">
        <w:rPr>
          <w:rFonts w:ascii="Helvetica" w:eastAsia="Times New Roman" w:hAnsi="Helvetica" w:cs="Times New Roman"/>
          <w:sz w:val="23"/>
          <w:szCs w:val="23"/>
        </w:rPr>
        <w:t>, staff should add distilled or deionized water </w:t>
      </w:r>
      <w:r w:rsidRPr="00B40EC1">
        <w:rPr>
          <w:rFonts w:ascii="Helvetica" w:eastAsia="Times New Roman" w:hAnsi="Helvetica" w:cs="Times New Roman"/>
          <w:i/>
          <w:iCs/>
          <w:sz w:val="23"/>
          <w:szCs w:val="23"/>
        </w:rPr>
        <w:t>after</w:t>
      </w:r>
      <w:r w:rsidRPr="00B40EC1">
        <w:rPr>
          <w:rFonts w:ascii="Helvetica" w:eastAsia="Times New Roman" w:hAnsi="Helvetica" w:cs="Times New Roman"/>
          <w:sz w:val="23"/>
          <w:szCs w:val="23"/>
        </w:rPr>
        <w:t> charging. Using a </w:t>
      </w:r>
      <w:hyperlink r:id="rId24" w:tgtFrame="_blank" w:history="1">
        <w:r w:rsidRPr="00B40EC1">
          <w:rPr>
            <w:rFonts w:ascii="Helvetica" w:eastAsia="Times New Roman" w:hAnsi="Helvetica" w:cs="Times New Roman"/>
            <w:sz w:val="23"/>
            <w:szCs w:val="23"/>
            <w:u w:val="single"/>
          </w:rPr>
          <w:t>Water Gun</w:t>
        </w:r>
      </w:hyperlink>
      <w:r w:rsidRPr="00B40EC1">
        <w:rPr>
          <w:rFonts w:ascii="Helvetica" w:eastAsia="Times New Roman" w:hAnsi="Helvetica" w:cs="Times New Roman"/>
          <w:sz w:val="23"/>
          <w:szCs w:val="23"/>
        </w:rPr>
        <w:t> with an automatic shutoff is the easiest way to ensure a properly filled battery. Per </w:t>
      </w:r>
      <w:hyperlink r:id="rId25" w:tgtFrame="_blank" w:history="1">
        <w:r w:rsidRPr="00B40EC1">
          <w:rPr>
            <w:rFonts w:ascii="Helvetica" w:eastAsia="Times New Roman" w:hAnsi="Helvetica" w:cs="Times New Roman"/>
            <w:sz w:val="23"/>
            <w:szCs w:val="23"/>
            <w:u w:val="single"/>
          </w:rPr>
          <w:t>29 CFR 1926.441</w:t>
        </w:r>
      </w:hyperlink>
      <w:r w:rsidRPr="00B40EC1">
        <w:rPr>
          <w:rFonts w:ascii="Helvetica" w:eastAsia="Times New Roman" w:hAnsi="Helvetica" w:cs="Times New Roman"/>
          <w:sz w:val="23"/>
          <w:szCs w:val="23"/>
        </w:rPr>
        <w:t>, operators should wear acid-resistant goggles, gloves, aprons, and boots while adding water to batteries to prevent exposure to sulfuric acid.</w:t>
      </w:r>
    </w:p>
    <w:p w14:paraId="51362506" w14:textId="77777777" w:rsidR="00B40EC1" w:rsidRPr="00B40EC1" w:rsidRDefault="00B40EC1" w:rsidP="00B40EC1">
      <w:pPr>
        <w:shd w:val="clear" w:color="auto" w:fill="FFFFFF"/>
        <w:spacing w:after="0" w:line="240" w:lineRule="auto"/>
        <w:outlineLvl w:val="1"/>
        <w:rPr>
          <w:rFonts w:ascii="Helvetica" w:eastAsia="Times New Roman" w:hAnsi="Helvetica" w:cs="Times New Roman"/>
          <w:b/>
          <w:bCs/>
          <w:sz w:val="29"/>
          <w:szCs w:val="29"/>
        </w:rPr>
      </w:pPr>
      <w:r w:rsidRPr="00B40EC1">
        <w:rPr>
          <w:rFonts w:ascii="Helvetica" w:eastAsia="Times New Roman" w:hAnsi="Helvetica" w:cs="Times New Roman"/>
          <w:b/>
          <w:bCs/>
          <w:sz w:val="29"/>
          <w:szCs w:val="29"/>
        </w:rPr>
        <w:t>Compliance with OSHA requirements may seem overwhelming at times.</w:t>
      </w:r>
    </w:p>
    <w:p w14:paraId="2537428E"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 xml:space="preserve">However, there are many resources to help. Besides the code itself, OSHA offers </w:t>
      </w:r>
      <w:proofErr w:type="spellStart"/>
      <w:r w:rsidRPr="00B40EC1">
        <w:rPr>
          <w:rFonts w:ascii="Helvetica" w:eastAsia="Times New Roman" w:hAnsi="Helvetica" w:cs="Times New Roman"/>
          <w:sz w:val="23"/>
          <w:szCs w:val="23"/>
        </w:rPr>
        <w:t>eTools</w:t>
      </w:r>
      <w:proofErr w:type="spellEnd"/>
      <w:r w:rsidRPr="00B40EC1">
        <w:rPr>
          <w:rFonts w:ascii="Helvetica" w:eastAsia="Times New Roman" w:hAnsi="Helvetica" w:cs="Times New Roman"/>
          <w:sz w:val="23"/>
          <w:szCs w:val="23"/>
        </w:rPr>
        <w:t>, </w:t>
      </w:r>
      <w:hyperlink r:id="rId26" w:tgtFrame="_blank" w:history="1">
        <w:r w:rsidRPr="00B40EC1">
          <w:rPr>
            <w:rFonts w:ascii="Helvetica" w:eastAsia="Times New Roman" w:hAnsi="Helvetica" w:cs="Times New Roman"/>
            <w:sz w:val="23"/>
            <w:szCs w:val="23"/>
            <w:u w:val="single"/>
          </w:rPr>
          <w:t>like this one</w:t>
        </w:r>
      </w:hyperlink>
      <w:r w:rsidRPr="00B40EC1">
        <w:rPr>
          <w:rFonts w:ascii="Helvetica" w:eastAsia="Times New Roman" w:hAnsi="Helvetica" w:cs="Times New Roman"/>
          <w:sz w:val="23"/>
          <w:szCs w:val="23"/>
        </w:rPr>
        <w:t>, which convey their standards in layman’s terms. Managers can also contact a </w:t>
      </w:r>
      <w:hyperlink r:id="rId27" w:tgtFrame="_blank" w:history="1">
        <w:r w:rsidRPr="00B40EC1">
          <w:rPr>
            <w:rFonts w:ascii="Helvetica" w:eastAsia="Times New Roman" w:hAnsi="Helvetica" w:cs="Times New Roman"/>
            <w:sz w:val="23"/>
            <w:szCs w:val="23"/>
            <w:u w:val="single"/>
          </w:rPr>
          <w:t>local OSHA office</w:t>
        </w:r>
      </w:hyperlink>
      <w:r w:rsidRPr="00B40EC1">
        <w:rPr>
          <w:rFonts w:ascii="Helvetica" w:eastAsia="Times New Roman" w:hAnsi="Helvetica" w:cs="Times New Roman"/>
          <w:sz w:val="23"/>
          <w:szCs w:val="23"/>
        </w:rPr>
        <w:t> for more help with compliance.</w:t>
      </w:r>
    </w:p>
    <w:p w14:paraId="5401003A"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color w:val="504941"/>
          <w:sz w:val="23"/>
          <w:szCs w:val="23"/>
        </w:rPr>
      </w:pPr>
      <w:r w:rsidRPr="00B40EC1">
        <w:rPr>
          <w:rFonts w:ascii="Helvetica" w:eastAsia="Times New Roman" w:hAnsi="Helvetica" w:cs="Times New Roman"/>
          <w:b/>
          <w:bCs/>
          <w:color w:val="504941"/>
          <w:sz w:val="23"/>
          <w:szCs w:val="23"/>
        </w:rPr>
        <w:t>References:</w:t>
      </w:r>
    </w:p>
    <w:p w14:paraId="45728537"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w:t>
      </w:r>
      <w:hyperlink r:id="rId28" w:anchor="1910.178(g)(4)" w:tgtFrame="_blank" w:history="1">
        <w:r w:rsidRPr="00B40EC1">
          <w:rPr>
            <w:rFonts w:ascii="Helvetica" w:eastAsia="Times New Roman" w:hAnsi="Helvetica" w:cs="Times New Roman"/>
            <w:sz w:val="23"/>
            <w:szCs w:val="23"/>
            <w:u w:val="single"/>
          </w:rPr>
          <w:t>29 CFR 1910.178(g)</w:t>
        </w:r>
      </w:hyperlink>
      <w:r w:rsidRPr="00B40EC1">
        <w:rPr>
          <w:rFonts w:ascii="Helvetica" w:eastAsia="Times New Roman" w:hAnsi="Helvetica" w:cs="Times New Roman"/>
          <w:i/>
          <w:iCs/>
          <w:sz w:val="23"/>
          <w:szCs w:val="23"/>
        </w:rPr>
        <w:t>.</w:t>
      </w:r>
      <w:r w:rsidRPr="00B40EC1">
        <w:rPr>
          <w:rFonts w:ascii="Helvetica" w:eastAsia="Times New Roman" w:hAnsi="Helvetica" w:cs="Times New Roman"/>
          <w:sz w:val="23"/>
          <w:szCs w:val="23"/>
        </w:rPr>
        <w:t>” </w:t>
      </w:r>
      <w:r w:rsidRPr="00B40EC1">
        <w:rPr>
          <w:rFonts w:ascii="Helvetica" w:eastAsia="Times New Roman" w:hAnsi="Helvetica" w:cs="Times New Roman"/>
          <w:i/>
          <w:iCs/>
          <w:sz w:val="23"/>
          <w:szCs w:val="23"/>
        </w:rPr>
        <w:t>OSHA</w:t>
      </w:r>
      <w:r w:rsidRPr="00B40EC1">
        <w:rPr>
          <w:rFonts w:ascii="Helvetica" w:eastAsia="Times New Roman" w:hAnsi="Helvetica" w:cs="Times New Roman"/>
          <w:sz w:val="23"/>
          <w:szCs w:val="23"/>
        </w:rPr>
        <w:t>. Occupational Safety and Health Administration, United States Department of Labor, n.d. Web. 17 Apr. 2018.</w:t>
      </w:r>
    </w:p>
    <w:p w14:paraId="556D6825"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lastRenderedPageBreak/>
        <w:t>“</w:t>
      </w:r>
      <w:hyperlink r:id="rId29" w:tgtFrame="_blank" w:history="1">
        <w:r w:rsidRPr="00B40EC1">
          <w:rPr>
            <w:rFonts w:ascii="Helvetica" w:eastAsia="Times New Roman" w:hAnsi="Helvetica" w:cs="Times New Roman"/>
            <w:sz w:val="23"/>
            <w:szCs w:val="23"/>
            <w:u w:val="single"/>
          </w:rPr>
          <w:t>29 CFR 1910.305(j)(7)</w:t>
        </w:r>
      </w:hyperlink>
      <w:r w:rsidRPr="00B40EC1">
        <w:rPr>
          <w:rFonts w:ascii="Helvetica" w:eastAsia="Times New Roman" w:hAnsi="Helvetica" w:cs="Times New Roman"/>
          <w:i/>
          <w:iCs/>
          <w:sz w:val="23"/>
          <w:szCs w:val="23"/>
        </w:rPr>
        <w:t>.</w:t>
      </w:r>
      <w:r w:rsidRPr="00B40EC1">
        <w:rPr>
          <w:rFonts w:ascii="Helvetica" w:eastAsia="Times New Roman" w:hAnsi="Helvetica" w:cs="Times New Roman"/>
          <w:sz w:val="23"/>
          <w:szCs w:val="23"/>
        </w:rPr>
        <w:t>” </w:t>
      </w:r>
      <w:r w:rsidRPr="00B40EC1">
        <w:rPr>
          <w:rFonts w:ascii="Helvetica" w:eastAsia="Times New Roman" w:hAnsi="Helvetica" w:cs="Times New Roman"/>
          <w:i/>
          <w:iCs/>
          <w:sz w:val="23"/>
          <w:szCs w:val="23"/>
        </w:rPr>
        <w:t>OSHA</w:t>
      </w:r>
      <w:r w:rsidRPr="00B40EC1">
        <w:rPr>
          <w:rFonts w:ascii="Helvetica" w:eastAsia="Times New Roman" w:hAnsi="Helvetica" w:cs="Times New Roman"/>
          <w:sz w:val="23"/>
          <w:szCs w:val="23"/>
        </w:rPr>
        <w:t>. Occupational Safety and Health Administration, United States Department of Labor, n.d. Web. 17 Apr. 2018.</w:t>
      </w:r>
    </w:p>
    <w:p w14:paraId="61413320" w14:textId="77777777" w:rsidR="00B40EC1" w:rsidRPr="00B40EC1" w:rsidRDefault="00B40EC1" w:rsidP="00B40EC1">
      <w:pPr>
        <w:shd w:val="clear" w:color="auto" w:fill="FFFFFF"/>
        <w:spacing w:before="100" w:beforeAutospacing="1" w:after="100" w:afterAutospacing="1" w:line="330" w:lineRule="atLeast"/>
        <w:rPr>
          <w:rFonts w:ascii="Helvetica" w:eastAsia="Times New Roman" w:hAnsi="Helvetica" w:cs="Times New Roman"/>
          <w:sz w:val="23"/>
          <w:szCs w:val="23"/>
        </w:rPr>
      </w:pPr>
      <w:r w:rsidRPr="00B40EC1">
        <w:rPr>
          <w:rFonts w:ascii="Helvetica" w:eastAsia="Times New Roman" w:hAnsi="Helvetica" w:cs="Times New Roman"/>
          <w:sz w:val="23"/>
          <w:szCs w:val="23"/>
        </w:rPr>
        <w:t>“</w:t>
      </w:r>
      <w:hyperlink r:id="rId30" w:tgtFrame="_blank" w:history="1">
        <w:r w:rsidRPr="00B40EC1">
          <w:rPr>
            <w:rFonts w:ascii="Helvetica" w:eastAsia="Times New Roman" w:hAnsi="Helvetica" w:cs="Times New Roman"/>
            <w:sz w:val="23"/>
            <w:szCs w:val="23"/>
            <w:u w:val="single"/>
          </w:rPr>
          <w:t>29 CFR 1926.441</w:t>
        </w:r>
      </w:hyperlink>
      <w:r w:rsidRPr="00B40EC1">
        <w:rPr>
          <w:rFonts w:ascii="Helvetica" w:eastAsia="Times New Roman" w:hAnsi="Helvetica" w:cs="Times New Roman"/>
          <w:sz w:val="23"/>
          <w:szCs w:val="23"/>
        </w:rPr>
        <w:t>.” </w:t>
      </w:r>
      <w:r w:rsidRPr="00B40EC1">
        <w:rPr>
          <w:rFonts w:ascii="Helvetica" w:eastAsia="Times New Roman" w:hAnsi="Helvetica" w:cs="Times New Roman"/>
          <w:i/>
          <w:iCs/>
          <w:sz w:val="23"/>
          <w:szCs w:val="23"/>
        </w:rPr>
        <w:t>OSHA</w:t>
      </w:r>
      <w:r w:rsidRPr="00B40EC1">
        <w:rPr>
          <w:rFonts w:ascii="Helvetica" w:eastAsia="Times New Roman" w:hAnsi="Helvetica" w:cs="Times New Roman"/>
          <w:sz w:val="23"/>
          <w:szCs w:val="23"/>
        </w:rPr>
        <w:t>. Occupational Safety and Health Administration, United States Department of Labor, n.d. Web. 17 Apr. 2018.</w:t>
      </w:r>
    </w:p>
    <w:p w14:paraId="5DF28E8B" w14:textId="1D532ABE" w:rsidR="00481D78" w:rsidRPr="00B40EC1" w:rsidRDefault="00F66C08">
      <w:r w:rsidRPr="00B40EC1">
        <w:t>k Lift Battery Changing Safety (OSHA)</w:t>
      </w:r>
    </w:p>
    <w:sectPr w:rsidR="00481D78" w:rsidRPr="00B4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08"/>
    <w:rsid w:val="00481D78"/>
    <w:rsid w:val="00B40EC1"/>
    <w:rsid w:val="00F6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D6CF"/>
  <w15:chartTrackingRefBased/>
  <w15:docId w15:val="{69838E49-7385-49FD-8EAD-98164A2F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E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1769">
      <w:bodyDiv w:val="1"/>
      <w:marLeft w:val="0"/>
      <w:marRight w:val="0"/>
      <w:marTop w:val="0"/>
      <w:marBottom w:val="0"/>
      <w:divBdr>
        <w:top w:val="none" w:sz="0" w:space="0" w:color="auto"/>
        <w:left w:val="none" w:sz="0" w:space="0" w:color="auto"/>
        <w:bottom w:val="none" w:sz="0" w:space="0" w:color="auto"/>
        <w:right w:val="none" w:sz="0" w:space="0" w:color="auto"/>
      </w:divBdr>
      <w:divsChild>
        <w:div w:id="1508011881">
          <w:marLeft w:val="0"/>
          <w:marRight w:val="0"/>
          <w:marTop w:val="75"/>
          <w:marBottom w:val="0"/>
          <w:divBdr>
            <w:top w:val="none" w:sz="0" w:space="0" w:color="auto"/>
            <w:left w:val="none" w:sz="0" w:space="0" w:color="auto"/>
            <w:bottom w:val="none" w:sz="0" w:space="0" w:color="auto"/>
            <w:right w:val="none" w:sz="0" w:space="0" w:color="auto"/>
          </w:divBdr>
        </w:div>
        <w:div w:id="103857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disp.show_document?p_table=STANDARDS&amp;p_id=9882" TargetMode="External"/><Relationship Id="rId13" Type="http://schemas.openxmlformats.org/officeDocument/2006/relationships/hyperlink" Target="https://www.osha.gov/pls/oshaweb/owadisp.show_document?p_table=STANDARDS&amp;p_id=9828" TargetMode="External"/><Relationship Id="rId18" Type="http://schemas.openxmlformats.org/officeDocument/2006/relationships/hyperlink" Target="https://www.osha.gov/pls/oshaweb/owadisp.show_document?p_table=STANDARDS&amp;p_id=9882" TargetMode="External"/><Relationship Id="rId26" Type="http://schemas.openxmlformats.org/officeDocument/2006/relationships/hyperlink" Target="https://www.osha.gov/SLTC/etools/pit/forklift/electric.html" TargetMode="External"/><Relationship Id="rId3" Type="http://schemas.openxmlformats.org/officeDocument/2006/relationships/webSettings" Target="webSettings.xml"/><Relationship Id="rId21" Type="http://schemas.openxmlformats.org/officeDocument/2006/relationships/hyperlink" Target="https://na.bhs1.com/products/accessories/structural-barrier/structural-bollards/" TargetMode="External"/><Relationship Id="rId7" Type="http://schemas.openxmlformats.org/officeDocument/2006/relationships/hyperlink" Target="https://www.osha.gov/pls/oshaweb/owadisp.show_document?p_table=STANDARDS&amp;p_id=9828" TargetMode="External"/><Relationship Id="rId12" Type="http://schemas.openxmlformats.org/officeDocument/2006/relationships/hyperlink" Target="https://www.cdc.gov/niosh/programs/msd/default.html" TargetMode="External"/><Relationship Id="rId17" Type="http://schemas.openxmlformats.org/officeDocument/2006/relationships/hyperlink" Target="https://na.bhs1.com/products/accessories/signage-posting/" TargetMode="External"/><Relationship Id="rId25" Type="http://schemas.openxmlformats.org/officeDocument/2006/relationships/hyperlink" Target="https://www.osha.gov/pls/oshaweb/owadisp.show_document?p_table=STANDARDS&amp;p_id=10742" TargetMode="External"/><Relationship Id="rId2" Type="http://schemas.openxmlformats.org/officeDocument/2006/relationships/settings" Target="settings.xml"/><Relationship Id="rId16" Type="http://schemas.openxmlformats.org/officeDocument/2006/relationships/hyperlink" Target="https://na.bhs1.com/products/accessories/battery-spill-kits/" TargetMode="External"/><Relationship Id="rId20" Type="http://schemas.openxmlformats.org/officeDocument/2006/relationships/hyperlink" Target="https://na.bhs1.com/products/accessories/structural-barrier/protective-rails/" TargetMode="External"/><Relationship Id="rId29" Type="http://schemas.openxmlformats.org/officeDocument/2006/relationships/hyperlink" Target="https://www.osha.gov/pls/oshaweb/owadisp.show_document?p_table=STANDARDS&amp;p_id=9882" TargetMode="External"/><Relationship Id="rId1" Type="http://schemas.openxmlformats.org/officeDocument/2006/relationships/styles" Target="styles.xml"/><Relationship Id="rId6" Type="http://schemas.openxmlformats.org/officeDocument/2006/relationships/hyperlink" Target="https://www.osha.gov/pls/oshaweb/owasrch.search_form?p_doc_type=STANDARDS&amp;p_toc_level=1&amp;p_keyvalue=1926" TargetMode="External"/><Relationship Id="rId11" Type="http://schemas.openxmlformats.org/officeDocument/2006/relationships/image" Target="media/image1.jpeg"/><Relationship Id="rId24" Type="http://schemas.openxmlformats.org/officeDocument/2006/relationships/hyperlink" Target="https://na.bhs1.com/products/accessories/battery-watering-devices/water-guns/" TargetMode="External"/><Relationship Id="rId32" Type="http://schemas.openxmlformats.org/officeDocument/2006/relationships/theme" Target="theme/theme1.xml"/><Relationship Id="rId5" Type="http://schemas.openxmlformats.org/officeDocument/2006/relationships/hyperlink" Target="https://www.osha.gov/pls/oshaweb/owasrch.search_form?p_doc_type=STANDARDS&amp;p_toc_level=1&amp;p_keyvalue=1910" TargetMode="External"/><Relationship Id="rId15" Type="http://schemas.openxmlformats.org/officeDocument/2006/relationships/hyperlink" Target="https://na.bhs1.com/products/accessories/eye-safety-stations/shower-eye-wash/" TargetMode="External"/><Relationship Id="rId23" Type="http://schemas.openxmlformats.org/officeDocument/2006/relationships/hyperlink" Target="https://www.osha.gov/pls/oshaweb/owadisp.show_document?p_table=STANDARDS&amp;p_id=9828" TargetMode="External"/><Relationship Id="rId28" Type="http://schemas.openxmlformats.org/officeDocument/2006/relationships/hyperlink" Target="https://www.osha.gov/pls/oshaweb/owadisp.show_document?p_table=STANDARDS&amp;p_id=9828" TargetMode="External"/><Relationship Id="rId10" Type="http://schemas.openxmlformats.org/officeDocument/2006/relationships/hyperlink" Target="https://www.osha.gov/pls/oshaweb/owadisp.show_document?p_table=STANDARDS&amp;p_id=9828" TargetMode="External"/><Relationship Id="rId19" Type="http://schemas.openxmlformats.org/officeDocument/2006/relationships/hyperlink" Target="https://na.bhs1.com/products/ventilation/" TargetMode="External"/><Relationship Id="rId31" Type="http://schemas.openxmlformats.org/officeDocument/2006/relationships/fontTable" Target="fontTable.xml"/><Relationship Id="rId4" Type="http://schemas.openxmlformats.org/officeDocument/2006/relationships/hyperlink" Target="https://na.bhs1.com/osha-on-forklift-battery-changing-stations-and-workplace-safety/" TargetMode="External"/><Relationship Id="rId9" Type="http://schemas.openxmlformats.org/officeDocument/2006/relationships/hyperlink" Target="https://www.osha.gov/pls/oshaweb/owadisp.show_document?p_table=STANDARDS&amp;p_id=10742" TargetMode="External"/><Relationship Id="rId14" Type="http://schemas.openxmlformats.org/officeDocument/2006/relationships/hyperlink" Target="https://na.bhs1.com/products/accessories/safety-alarms-response/fire-extinguisher-cabinet/" TargetMode="External"/><Relationship Id="rId22" Type="http://schemas.openxmlformats.org/officeDocument/2006/relationships/hyperlink" Target="https://www.osha.gov/pls/oshaweb/owadisp.show_document?p_table=STANDARDS&amp;p_id=9828" TargetMode="External"/><Relationship Id="rId27" Type="http://schemas.openxmlformats.org/officeDocument/2006/relationships/hyperlink" Target="https://www.osha.gov/html/RAmap.html" TargetMode="External"/><Relationship Id="rId30" Type="http://schemas.openxmlformats.org/officeDocument/2006/relationships/hyperlink" Target="https://www.osha.gov/pls/oshaweb/owadisp.show_document?p_table=STANDARDS&amp;p_id=10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2022-06-02T16:22:00Z</dcterms:created>
  <dcterms:modified xsi:type="dcterms:W3CDTF">2022-06-02T16:24:00Z</dcterms:modified>
</cp:coreProperties>
</file>